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811DE1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11DE1" w:rsidRPr="00811DE1" w:rsidRDefault="00E801E6" w:rsidP="00811DE1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E801E6"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Programming (I)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11DE1" w:rsidRPr="004B3859" w:rsidRDefault="00811DE1" w:rsidP="00811DE1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FC20E3" w:rsidP="003917AC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</w:t>
            </w:r>
            <w:r w:rsidR="003917AC">
              <w:rPr>
                <w:rFonts w:cs="Times New Roman"/>
                <w:color w:val="000000"/>
                <w:sz w:val="28"/>
                <w:szCs w:val="28"/>
                <w:lang w:bidi="ar-IQ"/>
              </w:rPr>
              <w:t>5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0D7E0B" w:rsidRDefault="000D7E0B" w:rsidP="000D7E0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0D7E0B">
              <w:rPr>
                <w:rFonts w:cs="Times New Roman"/>
                <w:color w:val="231F20"/>
                <w:sz w:val="28"/>
                <w:szCs w:val="28"/>
              </w:rPr>
              <w:t>Familiarize the student with facing problems and trying to solve them and searching for and follow</w:t>
            </w:r>
            <w:r>
              <w:rPr>
                <w:rFonts w:cs="Times New Roman"/>
                <w:color w:val="231F20"/>
                <w:sz w:val="28"/>
                <w:szCs w:val="28"/>
              </w:rPr>
              <w:t>ing the correct ways of solving.</w:t>
            </w:r>
          </w:p>
          <w:p w:rsidR="000D7E0B" w:rsidRDefault="000D7E0B" w:rsidP="000D7E0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D</w:t>
            </w:r>
            <w:r w:rsidRPr="000D7E0B">
              <w:rPr>
                <w:rFonts w:cs="Times New Roman"/>
                <w:color w:val="231F20"/>
                <w:sz w:val="28"/>
                <w:szCs w:val="28"/>
              </w:rPr>
              <w:t xml:space="preserve">eveloping his research and investigation skills. </w:t>
            </w:r>
          </w:p>
          <w:p w:rsidR="00876BD4" w:rsidRPr="00B81D94" w:rsidRDefault="000D7E0B" w:rsidP="000D7E0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A</w:t>
            </w:r>
            <w:r w:rsidRPr="000D7E0B">
              <w:rPr>
                <w:rFonts w:cs="Times New Roman"/>
                <w:color w:val="231F20"/>
                <w:sz w:val="28"/>
                <w:szCs w:val="28"/>
              </w:rPr>
              <w:t>ims to teach the student the types of programming languages and then the methods and analysis of algorithms and programs, and programming them in C++.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2D0A68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2D0A68">
        <w:trPr>
          <w:trHeight w:val="2428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0D7E0B" w:rsidRPr="000D7E0B" w:rsidRDefault="00784A9D" w:rsidP="000D7E0B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C1166E" w:rsidRPr="003B19F8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0D7E0B">
              <w:t xml:space="preserve"> </w:t>
            </w:r>
            <w:r w:rsidR="000D7E0B" w:rsidRPr="000D7E0B">
              <w:rPr>
                <w:rFonts w:cs="Times New Roman"/>
                <w:color w:val="231F20"/>
                <w:sz w:val="28"/>
                <w:szCs w:val="28"/>
              </w:rPr>
              <w:t>Analyzing and solving problems.</w:t>
            </w:r>
          </w:p>
          <w:p w:rsidR="000D7E0B" w:rsidRPr="000D7E0B" w:rsidRDefault="000D7E0B" w:rsidP="000D7E0B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0D7E0B">
              <w:rPr>
                <w:rFonts w:cs="Times New Roman"/>
                <w:color w:val="231F20"/>
                <w:sz w:val="28"/>
                <w:szCs w:val="28"/>
              </w:rPr>
              <w:t>Learn about algorithms, data processing schemes, and commands.</w:t>
            </w:r>
          </w:p>
          <w:p w:rsidR="000D7E0B" w:rsidRPr="000D7E0B" w:rsidRDefault="000D7E0B" w:rsidP="000D7E0B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A3. </w:t>
            </w:r>
            <w:r w:rsidRPr="000D7E0B">
              <w:rPr>
                <w:rFonts w:cs="Times New Roman"/>
                <w:color w:val="231F20"/>
                <w:sz w:val="28"/>
                <w:szCs w:val="28"/>
              </w:rPr>
              <w:t>Learn about programming languages and their types.</w:t>
            </w:r>
          </w:p>
          <w:p w:rsidR="000D7E0B" w:rsidRPr="000D7E0B" w:rsidRDefault="000D7E0B" w:rsidP="000D7E0B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A4. </w:t>
            </w:r>
            <w:r w:rsidRPr="000D7E0B">
              <w:rPr>
                <w:rFonts w:cs="Times New Roman"/>
                <w:color w:val="231F20"/>
                <w:sz w:val="28"/>
                <w:szCs w:val="28"/>
              </w:rPr>
              <w:t>Understand the basics of programming and building applications in C++.</w:t>
            </w:r>
          </w:p>
          <w:p w:rsidR="00784A9D" w:rsidRPr="0068500E" w:rsidRDefault="000D7E0B" w:rsidP="000D7E0B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A5. </w:t>
            </w:r>
            <w:r w:rsidRPr="000D7E0B">
              <w:rPr>
                <w:rFonts w:cs="Times New Roman"/>
                <w:color w:val="231F20"/>
                <w:sz w:val="28"/>
                <w:szCs w:val="28"/>
              </w:rPr>
              <w:t>Familiarity with the vocabulary of the C++ language in particular and the vocabulary of programming in general.</w:t>
            </w:r>
          </w:p>
        </w:tc>
      </w:tr>
      <w:tr w:rsidR="00784A9D" w:rsidRPr="00FB47B4" w:rsidTr="00C663E7">
        <w:trPr>
          <w:trHeight w:val="1966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910641" w:rsidRPr="00910641" w:rsidRDefault="00784A9D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910641">
              <w:t xml:space="preserve"> </w:t>
            </w:r>
            <w:r w:rsidR="00910641" w:rsidRPr="00910641">
              <w:rPr>
                <w:rFonts w:cs="Times New Roman"/>
                <w:color w:val="231F20"/>
                <w:sz w:val="28"/>
                <w:szCs w:val="28"/>
              </w:rPr>
              <w:t>Read and understand the topic in a way that achieves the required scientific benefit</w:t>
            </w:r>
          </w:p>
          <w:p w:rsidR="00784A9D" w:rsidRPr="007D7B14" w:rsidRDefault="00910641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910641">
              <w:rPr>
                <w:rFonts w:cs="Times New Roman"/>
                <w:color w:val="231F20"/>
                <w:sz w:val="28"/>
                <w:szCs w:val="28"/>
              </w:rPr>
              <w:t>Develop the student's mental ability in the field of his scientific and academic specialization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910641" w:rsidRPr="00910641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direct method is through lectures</w:t>
            </w:r>
          </w:p>
          <w:p w:rsidR="00784A9D" w:rsidRPr="00FE3BB0" w:rsidRDefault="00910641" w:rsidP="00910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910641">
              <w:rPr>
                <w:rFonts w:cs="Times New Roman"/>
                <w:color w:val="231F20"/>
                <w:sz w:val="28"/>
                <w:szCs w:val="28"/>
              </w:rPr>
              <w:t>The subjective method by preparing research papers and discussing them collectively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2D0A68">
        <w:trPr>
          <w:trHeight w:val="1324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</w:p>
        </w:tc>
      </w:tr>
      <w:tr w:rsidR="00784A9D" w:rsidRPr="00FB47B4" w:rsidTr="00C663E7">
        <w:trPr>
          <w:trHeight w:val="2389"/>
        </w:trPr>
        <w:tc>
          <w:tcPr>
            <w:tcW w:w="9720" w:type="dxa"/>
            <w:shd w:val="clear" w:color="auto" w:fill="A7BFDE"/>
            <w:vAlign w:val="center"/>
          </w:tcPr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910641" w:rsidRPr="00910641" w:rsidRDefault="00784A9D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910641">
              <w:t xml:space="preserve"> </w:t>
            </w:r>
            <w:r w:rsidR="00910641" w:rsidRPr="00910641">
              <w:rPr>
                <w:rFonts w:cs="Times New Roman"/>
                <w:color w:val="231F20"/>
                <w:sz w:val="28"/>
                <w:szCs w:val="28"/>
              </w:rPr>
              <w:t>To familiarize the student with the importance of programming and its role in scientific development and civilized progress.</w:t>
            </w:r>
          </w:p>
          <w:p w:rsidR="00910641" w:rsidRPr="00910641" w:rsidRDefault="00910641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C2.  </w:t>
            </w:r>
            <w:r w:rsidRPr="00910641">
              <w:rPr>
                <w:rFonts w:cs="Times New Roman"/>
                <w:color w:val="231F20"/>
                <w:sz w:val="28"/>
                <w:szCs w:val="28"/>
              </w:rPr>
              <w:t>To appreciate the aesthetic aspects of programming, especially with regard to a taste for syllogism and respect for the power of thinking, analysis and reasoning.</w:t>
            </w:r>
          </w:p>
          <w:p w:rsidR="00784A9D" w:rsidRPr="007D7B14" w:rsidRDefault="00910641" w:rsidP="0091064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C3. </w:t>
            </w:r>
            <w:r w:rsidRPr="00910641">
              <w:rPr>
                <w:rFonts w:cs="Times New Roman"/>
                <w:color w:val="231F20"/>
                <w:sz w:val="28"/>
                <w:szCs w:val="28"/>
              </w:rPr>
              <w:t>That the student knows the great importance of programming for companies and in the labor market.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C663E7">
        <w:trPr>
          <w:trHeight w:val="772"/>
        </w:trPr>
        <w:tc>
          <w:tcPr>
            <w:tcW w:w="9720" w:type="dxa"/>
            <w:shd w:val="clear" w:color="auto" w:fill="A7BFDE"/>
            <w:vAlign w:val="center"/>
          </w:tcPr>
          <w:p w:rsidR="00C663E7" w:rsidRPr="00C663E7" w:rsidRDefault="00C663E7" w:rsidP="00C663E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C663E7">
              <w:rPr>
                <w:rFonts w:cs="Times New Roman"/>
                <w:color w:val="231F20"/>
                <w:sz w:val="28"/>
                <w:szCs w:val="28"/>
              </w:rPr>
              <w:t xml:space="preserve">Direct lecture style </w:t>
            </w:r>
          </w:p>
          <w:p w:rsidR="00C663E7" w:rsidRPr="00C663E7" w:rsidRDefault="00C663E7" w:rsidP="00C663E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C663E7">
              <w:rPr>
                <w:rFonts w:cs="Times New Roman"/>
                <w:color w:val="231F20"/>
                <w:sz w:val="28"/>
                <w:szCs w:val="28"/>
              </w:rPr>
              <w:t>Discussion method</w:t>
            </w:r>
          </w:p>
          <w:p w:rsidR="00784A9D" w:rsidRPr="00784A9D" w:rsidRDefault="00C663E7" w:rsidP="00C663E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C663E7">
              <w:rPr>
                <w:rFonts w:cs="Times New Roman"/>
                <w:color w:val="231F20"/>
                <w:sz w:val="28"/>
                <w:szCs w:val="28"/>
              </w:rPr>
              <w:t>Self-learning (research and seminars)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693970" w:rsidRP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Daily exams, monthly exams</w:t>
            </w:r>
          </w:p>
          <w:p w:rsidR="00784A9D" w:rsidRPr="00784A9D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 xml:space="preserve">Conduct experiments </w:t>
            </w:r>
            <w:r w:rsidR="00784A9D" w:rsidRPr="00784A9D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CD7E1C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11. Course Structure</w:t>
            </w:r>
          </w:p>
        </w:tc>
      </w:tr>
      <w:tr w:rsidR="00D44F66" w:rsidRPr="00FB47B4" w:rsidTr="00CD7E1C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CD7E1C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AC0B73" w:rsidRPr="00FB47B4" w:rsidTr="00B77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Algorithm and Flow Chart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AC0B73" w:rsidRPr="009F395E" w:rsidTr="00B77F33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AC0B73" w:rsidRPr="009F395E" w:rsidTr="00B77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AC0B73" w:rsidRPr="009F395E" w:rsidTr="00B77F33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Introduction to C++ (Structure of program)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AC0B73" w:rsidRPr="009F395E" w:rsidTr="00B77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AC0B73" w:rsidRPr="009F395E" w:rsidTr="00B77F33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Variables, Data Types, Expressions and Basic Input and Output 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AC0B73" w:rsidRPr="009F395E" w:rsidTr="00B77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AC0B73" w:rsidRPr="009F395E" w:rsidTr="00B77F3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Operators (Bitwise, Arithmetic, Conditionals)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AC0B73" w:rsidRPr="009F395E" w:rsidTr="00B77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AC0B73" w:rsidRPr="009F395E" w:rsidTr="00B77F3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Making Decisions (if…else and switch)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AC0B73" w:rsidRPr="009F395E" w:rsidTr="00B77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AC0B73" w:rsidRPr="009F395E" w:rsidTr="00B77F3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Looping (While loop and for loop)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AC0B73" w:rsidRPr="009F395E" w:rsidTr="00B77F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AC0B73" w:rsidRPr="009F395E" w:rsidTr="00B77F33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Jump Statements (break, continue)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AC0B73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AC0B73" w:rsidRPr="00CD7E1C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Functions (Local and global variables, Overload functions and Recursion Functions) 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16</w:t>
            </w:r>
          </w:p>
        </w:tc>
      </w:tr>
      <w:tr w:rsidR="00AC0B73" w:rsidRPr="009F395E" w:rsidTr="00867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17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Arrays (Single and two dimensional arrays)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18</w:t>
            </w:r>
          </w:p>
        </w:tc>
      </w:tr>
      <w:tr w:rsidR="00AC0B73" w:rsidRPr="009F395E" w:rsidTr="00867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19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Character sequences and String handling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20</w:t>
            </w:r>
          </w:p>
        </w:tc>
      </w:tr>
      <w:tr w:rsidR="00AC0B73" w:rsidRPr="009F395E" w:rsidTr="00867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21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22</w:t>
            </w:r>
          </w:p>
        </w:tc>
      </w:tr>
      <w:tr w:rsidR="00AC0B73" w:rsidRPr="009F395E" w:rsidTr="00867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Pointers (Reference operator, Dereference operator, Declaring variables of pointer types, Pointers and arrays, void pointers and pointer to function)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23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24</w:t>
            </w:r>
          </w:p>
        </w:tc>
      </w:tr>
      <w:tr w:rsidR="00AC0B73" w:rsidRPr="009F395E" w:rsidTr="00867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25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26</w:t>
            </w:r>
          </w:p>
        </w:tc>
      </w:tr>
      <w:tr w:rsidR="00AC0B73" w:rsidRPr="009F395E" w:rsidTr="00867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27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AC0B73">
              <w:rPr>
                <w:rFonts w:cs="Times New Roman"/>
                <w:color w:val="000000"/>
                <w:sz w:val="26"/>
                <w:szCs w:val="26"/>
                <w:lang w:bidi="ar-IQ"/>
              </w:rPr>
              <w:t>Dynamic Memory (Operators new, Allocation memory, Operators Delete)</w:t>
            </w: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28</w:t>
            </w:r>
          </w:p>
        </w:tc>
      </w:tr>
      <w:tr w:rsidR="00AC0B73" w:rsidRPr="009F395E" w:rsidTr="00867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29</w:t>
            </w:r>
          </w:p>
        </w:tc>
      </w:tr>
      <w:tr w:rsidR="00AC0B73" w:rsidRPr="009F395E" w:rsidTr="0086719E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</w:tcPr>
          <w:p w:rsidR="00AC0B73" w:rsidRPr="00AC0B73" w:rsidRDefault="00AC0B73" w:rsidP="00AC0B73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AC0B73" w:rsidRPr="00B2081F" w:rsidRDefault="00AC0B73" w:rsidP="00AC0B73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30</w:t>
            </w:r>
          </w:p>
        </w:tc>
      </w:tr>
    </w:tbl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AC0B73" w:rsidRDefault="00AC0B73" w:rsidP="00AC0B73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AC0B73" w:rsidRDefault="00AC0B73" w:rsidP="00AC0B73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AC0B73" w:rsidRPr="0090145B" w:rsidRDefault="00AC0B73" w:rsidP="00AC0B73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AC0B73" w:rsidRPr="00AC0B73" w:rsidRDefault="0090145B" w:rsidP="00AC0B7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AC0B73">
              <w:t xml:space="preserve"> </w:t>
            </w:r>
            <w:r w:rsidR="00AC0B73" w:rsidRPr="00AC0B73">
              <w:rPr>
                <w:rFonts w:cs="Times New Roman"/>
                <w:color w:val="231F20"/>
                <w:sz w:val="28"/>
                <w:szCs w:val="28"/>
              </w:rPr>
              <w:t>Improve debating skills</w:t>
            </w:r>
          </w:p>
          <w:p w:rsidR="00B87698" w:rsidRPr="004764AD" w:rsidRDefault="00AC0B73" w:rsidP="00AC0B7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D2. </w:t>
            </w:r>
            <w:r w:rsidRPr="00AC0B73">
              <w:rPr>
                <w:rFonts w:cs="Times New Roman"/>
                <w:color w:val="231F20"/>
                <w:sz w:val="28"/>
                <w:szCs w:val="28"/>
              </w:rPr>
              <w:t>Raising research perceptions and transferring students from the stage of education to learning</w:t>
            </w:r>
          </w:p>
          <w:p w:rsidR="0090145B" w:rsidRPr="004764AD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</w:tc>
      </w:tr>
    </w:tbl>
    <w:p w:rsidR="00FE7F49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B2081F" w:rsidRPr="0090145B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DC0A65" w:rsidRDefault="00DC0A65" w:rsidP="00DC0A65">
      <w:pPr>
        <w:autoSpaceDE w:val="0"/>
        <w:autoSpaceDN w:val="0"/>
        <w:bidi w:val="0"/>
        <w:adjustRightInd w:val="0"/>
        <w:spacing w:after="200" w:line="276" w:lineRule="auto"/>
        <w:ind w:left="-709"/>
        <w:rPr>
          <w:rFonts w:cs="Times New Roman"/>
          <w:sz w:val="28"/>
          <w:szCs w:val="28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FE7F49" w:rsidRPr="00F2205E" w:rsidRDefault="003917AC" w:rsidP="003917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3917AC">
              <w:rPr>
                <w:rFonts w:cs="Times New Roman"/>
                <w:color w:val="000000"/>
                <w:sz w:val="28"/>
                <w:szCs w:val="28"/>
                <w:lang w:bidi="ar-IQ"/>
              </w:rPr>
              <w:t>The C++ Programming Language, 4th Edition by Bjarne Stroustrup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AC0B73" w:rsidRPr="00AC0B73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E-Learning / The official page of the College of Knowledge</w:t>
            </w:r>
          </w:p>
          <w:p w:rsidR="0090145B" w:rsidRPr="0054730D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http://www.cplusplus.com</w:t>
            </w: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AC0B73" w:rsidRPr="00AC0B73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G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uest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Lectures </w:t>
            </w:r>
          </w:p>
          <w:p w:rsidR="00DC0A65" w:rsidRPr="0054730D" w:rsidRDefault="00AC0B73" w:rsidP="00AC0B7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I</w:t>
            </w:r>
            <w:bookmarkStart w:id="0" w:name="_GoBack"/>
            <w:bookmarkEnd w:id="0"/>
            <w:r w:rsidRPr="00AC0B73">
              <w:rPr>
                <w:rFonts w:cs="Times New Roman"/>
                <w:color w:val="000000"/>
                <w:sz w:val="28"/>
                <w:szCs w:val="28"/>
                <w:lang w:bidi="ar-IQ"/>
              </w:rPr>
              <w:t>nternship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464DC"/>
    <w:rsid w:val="000864AF"/>
    <w:rsid w:val="000D7E0B"/>
    <w:rsid w:val="001434CA"/>
    <w:rsid w:val="00190C46"/>
    <w:rsid w:val="00251708"/>
    <w:rsid w:val="003917AC"/>
    <w:rsid w:val="003B19F8"/>
    <w:rsid w:val="003F7D8B"/>
    <w:rsid w:val="004115ED"/>
    <w:rsid w:val="004243F5"/>
    <w:rsid w:val="004764AD"/>
    <w:rsid w:val="004B3859"/>
    <w:rsid w:val="00515746"/>
    <w:rsid w:val="00524662"/>
    <w:rsid w:val="005326C0"/>
    <w:rsid w:val="00542672"/>
    <w:rsid w:val="0057205A"/>
    <w:rsid w:val="0068500E"/>
    <w:rsid w:val="00693970"/>
    <w:rsid w:val="00700DC0"/>
    <w:rsid w:val="007069B4"/>
    <w:rsid w:val="00784A9D"/>
    <w:rsid w:val="007A56F6"/>
    <w:rsid w:val="007D7B14"/>
    <w:rsid w:val="00811DE1"/>
    <w:rsid w:val="00876BD4"/>
    <w:rsid w:val="008916E8"/>
    <w:rsid w:val="0090145B"/>
    <w:rsid w:val="00910641"/>
    <w:rsid w:val="009A5412"/>
    <w:rsid w:val="00AC0B73"/>
    <w:rsid w:val="00AD3821"/>
    <w:rsid w:val="00B2081F"/>
    <w:rsid w:val="00B81D94"/>
    <w:rsid w:val="00B87698"/>
    <w:rsid w:val="00C1166E"/>
    <w:rsid w:val="00C55990"/>
    <w:rsid w:val="00C663E7"/>
    <w:rsid w:val="00CD1B21"/>
    <w:rsid w:val="00CD7E1C"/>
    <w:rsid w:val="00CE36FF"/>
    <w:rsid w:val="00D44F66"/>
    <w:rsid w:val="00DC0A65"/>
    <w:rsid w:val="00E801E6"/>
    <w:rsid w:val="00F2205E"/>
    <w:rsid w:val="00F42314"/>
    <w:rsid w:val="00FC20E3"/>
    <w:rsid w:val="00FC6163"/>
    <w:rsid w:val="00FE3BB0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2C892-5470-4A95-911E-3550E543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35</cp:revision>
  <dcterms:created xsi:type="dcterms:W3CDTF">2021-06-22T08:41:00Z</dcterms:created>
  <dcterms:modified xsi:type="dcterms:W3CDTF">2021-06-24T18:18:00Z</dcterms:modified>
</cp:coreProperties>
</file>