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0864AF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0864AF" w:rsidRPr="000864AF" w:rsidRDefault="00FC20E3" w:rsidP="000864AF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C20E3">
              <w:rPr>
                <w:rFonts w:cs="Times New Roman"/>
                <w:color w:val="000000"/>
                <w:sz w:val="28"/>
                <w:szCs w:val="28"/>
                <w:lang w:bidi="ar-IQ"/>
              </w:rPr>
              <w:t>Electrical Engineering Fundamentals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0864AF" w:rsidRPr="004B3859" w:rsidRDefault="000864AF" w:rsidP="000864AF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FC20E3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FC20E3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180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FC20E3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B81D94" w:rsidRDefault="00FC20E3" w:rsidP="00FC20E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C20E3">
              <w:rPr>
                <w:rFonts w:cs="Times New Roman"/>
                <w:color w:val="231F20"/>
                <w:sz w:val="28"/>
                <w:szCs w:val="28"/>
              </w:rPr>
              <w:t>Preparing the student to study the various calculations in circuits with alternating current and direct current and to identify the various theories to study those theories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2D0A68">
        <w:trPr>
          <w:trHeight w:val="2428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FC20E3" w:rsidRPr="00FC20E3" w:rsidRDefault="00784A9D" w:rsidP="00FC20E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C1166E" w:rsidRPr="003B19F8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515746" w:rsidRPr="00FC20E3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FC20E3" w:rsidRPr="00FC20E3">
              <w:rPr>
                <w:rFonts w:cs="Times New Roman"/>
                <w:color w:val="231F20"/>
                <w:sz w:val="28"/>
                <w:szCs w:val="28"/>
              </w:rPr>
              <w:t xml:space="preserve"> To teach the student to analyze electronic circuits with alternating current and direct current</w:t>
            </w:r>
          </w:p>
          <w:p w:rsidR="00FC20E3" w:rsidRPr="00FC20E3" w:rsidRDefault="00FC20E3" w:rsidP="00FC20E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FC20E3">
              <w:rPr>
                <w:rFonts w:cs="Times New Roman"/>
                <w:color w:val="231F20"/>
                <w:sz w:val="28"/>
                <w:szCs w:val="28"/>
              </w:rPr>
              <w:t>The student learns how to analyze using all available theories</w:t>
            </w:r>
          </w:p>
          <w:p w:rsidR="00784A9D" w:rsidRPr="0068500E" w:rsidRDefault="00FC20E3" w:rsidP="00FC20E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FC20E3">
              <w:rPr>
                <w:rFonts w:cs="Times New Roman"/>
                <w:color w:val="231F20"/>
                <w:sz w:val="28"/>
                <w:szCs w:val="28"/>
              </w:rPr>
              <w:t>The student learns to connect circuits through what he learns practically in the laboratory</w:t>
            </w:r>
          </w:p>
        </w:tc>
      </w:tr>
      <w:tr w:rsidR="00784A9D" w:rsidRPr="00FB47B4" w:rsidTr="00B87698">
        <w:trPr>
          <w:trHeight w:val="2107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AD3821" w:rsidRPr="00AD3821" w:rsidRDefault="00784A9D" w:rsidP="00AD382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87698">
              <w:t xml:space="preserve"> </w:t>
            </w:r>
            <w:r w:rsidR="00B87698" w:rsidRPr="00B87698">
              <w:rPr>
                <w:rFonts w:cs="Times New Roman"/>
                <w:color w:val="231F20"/>
                <w:sz w:val="28"/>
                <w:szCs w:val="28"/>
              </w:rPr>
              <w:t>The student benefits by being familiar with electrical circuits and how to connect them in his practical life</w:t>
            </w:r>
          </w:p>
          <w:p w:rsidR="00AD3821" w:rsidRPr="00AD3821" w:rsidRDefault="00AD3821" w:rsidP="00AD382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>The ability to apply the skills of modern computer matching circuits.</w:t>
            </w:r>
          </w:p>
          <w:p w:rsidR="00784A9D" w:rsidRPr="007D7B14" w:rsidRDefault="00AD3821" w:rsidP="00AD3821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B3. </w:t>
            </w:r>
            <w:r w:rsidRPr="00AD3821">
              <w:rPr>
                <w:rFonts w:cs="Times New Roman"/>
                <w:color w:val="231F20"/>
                <w:sz w:val="28"/>
                <w:szCs w:val="28"/>
              </w:rPr>
              <w:t>Participation and success in their professional lives through practical training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L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ectures</w:t>
            </w:r>
          </w:p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D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iscussions</w:t>
            </w:r>
          </w:p>
          <w:p w:rsidR="00B87698" w:rsidRPr="00B87698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Research</w:t>
            </w:r>
          </w:p>
          <w:p w:rsidR="00784A9D" w:rsidRPr="00FE3BB0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Reports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AD3821" w:rsidRPr="00AD3821" w:rsidRDefault="00AD3821" w:rsidP="00AD382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AD3821" w:rsidRPr="00AD3821" w:rsidRDefault="00B87698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B87698">
              <w:rPr>
                <w:rFonts w:cs="Times New Roman"/>
                <w:color w:val="231F20"/>
                <w:sz w:val="28"/>
                <w:szCs w:val="28"/>
              </w:rPr>
              <w:t>Daily and quarterly exams</w:t>
            </w:r>
          </w:p>
          <w:p w:rsidR="00FE3BB0" w:rsidRPr="00B87698" w:rsidRDefault="00AD3821" w:rsidP="00B8769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AD3821">
              <w:rPr>
                <w:rFonts w:cs="Times New Roman"/>
                <w:color w:val="231F20"/>
                <w:sz w:val="28"/>
                <w:szCs w:val="28"/>
              </w:rPr>
              <w:t xml:space="preserve">Preparing scientific reports </w:t>
            </w:r>
          </w:p>
        </w:tc>
      </w:tr>
      <w:tr w:rsidR="00784A9D" w:rsidRPr="00FB47B4" w:rsidTr="001434CA">
        <w:trPr>
          <w:trHeight w:val="1513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B87698" w:rsidRPr="00B87698" w:rsidRDefault="00784A9D" w:rsidP="00B8769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87698" w:rsidRPr="00B87698">
              <w:rPr>
                <w:rFonts w:cs="Times New Roman"/>
                <w:color w:val="231F20"/>
                <w:sz w:val="28"/>
                <w:szCs w:val="28"/>
              </w:rPr>
              <w:t>The student learns how to describe and deal with electrical circuits</w:t>
            </w:r>
          </w:p>
          <w:p w:rsidR="00784A9D" w:rsidRPr="007D7B14" w:rsidRDefault="00B87698" w:rsidP="00B8769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C2. </w:t>
            </w:r>
            <w:r w:rsidRPr="00B87698">
              <w:rPr>
                <w:rFonts w:cs="Times New Roman"/>
                <w:color w:val="231F20"/>
                <w:sz w:val="28"/>
                <w:szCs w:val="28"/>
              </w:rPr>
              <w:t>Through what the student learns from the theoretical and practical study, he can develop his abilities in how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to connect electrical circuits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1434CA">
        <w:trPr>
          <w:trHeight w:val="1329"/>
        </w:trPr>
        <w:tc>
          <w:tcPr>
            <w:tcW w:w="9720" w:type="dxa"/>
            <w:shd w:val="clear" w:color="auto" w:fill="A7BFDE"/>
            <w:vAlign w:val="center"/>
          </w:tcPr>
          <w:p w:rsidR="001434CA" w:rsidRPr="001434CA" w:rsidRDefault="001434CA" w:rsidP="001434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434CA">
              <w:rPr>
                <w:rFonts w:cs="Times New Roman"/>
                <w:color w:val="231F20"/>
                <w:sz w:val="28"/>
                <w:szCs w:val="28"/>
              </w:rPr>
              <w:t>Science laboratories</w:t>
            </w:r>
          </w:p>
          <w:p w:rsidR="00784A9D" w:rsidRPr="00784A9D" w:rsidRDefault="001434CA" w:rsidP="001434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1434CA">
              <w:rPr>
                <w:rFonts w:cs="Times New Roman"/>
                <w:color w:val="231F20"/>
                <w:sz w:val="28"/>
                <w:szCs w:val="28"/>
              </w:rPr>
              <w:t>Field visits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1434CA">
        <w:trPr>
          <w:trHeight w:val="944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Daily exams, monthly exams</w:t>
            </w:r>
          </w:p>
          <w:p w:rsidR="00784A9D" w:rsidRPr="00784A9D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 xml:space="preserve">Conduct experiments </w:t>
            </w:r>
            <w:r w:rsidR="00784A9D" w:rsidRPr="00784A9D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190C46" w:rsidRDefault="00190C46" w:rsidP="00190C46">
      <w:pPr>
        <w:bidi w:val="0"/>
        <w:rPr>
          <w:rFonts w:cs="Times New Roman"/>
          <w:sz w:val="24"/>
          <w:szCs w:val="24"/>
        </w:rPr>
      </w:pPr>
    </w:p>
    <w:p w:rsidR="00B87698" w:rsidRPr="009F395E" w:rsidRDefault="00B87698" w:rsidP="00B87698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B2081F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B2081F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B2081F" w:rsidRDefault="00784A9D" w:rsidP="00B2081F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B2081F" w:rsidRDefault="00784A9D" w:rsidP="00B2081F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Teaching</w:t>
            </w:r>
            <w:r w:rsidR="00FE7F49"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  <w:t>Unit/Module or Topic Title</w:t>
            </w:r>
          </w:p>
        </w:tc>
        <w:tc>
          <w:tcPr>
            <w:tcW w:w="850" w:type="dxa"/>
            <w:vAlign w:val="center"/>
          </w:tcPr>
          <w:p w:rsidR="00784A9D" w:rsidRPr="00B2081F" w:rsidRDefault="00784A9D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B2081F" w:rsidRDefault="00784A9D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B2081F" w:rsidRDefault="00784A9D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2081F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Week</w:t>
            </w:r>
          </w:p>
        </w:tc>
      </w:tr>
      <w:tr w:rsidR="00B2081F" w:rsidRPr="00FB47B4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Symbols and abbreviations</w:t>
            </w:r>
          </w:p>
        </w:tc>
        <w:tc>
          <w:tcPr>
            <w:tcW w:w="850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B2081F" w:rsidRPr="00B2081F" w:rsidRDefault="00581C16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</w:t>
            </w:r>
          </w:p>
        </w:tc>
      </w:tr>
      <w:tr w:rsidR="00B2081F" w:rsidRPr="009F395E" w:rsidTr="00B2081F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B2081F" w:rsidRPr="00B2081F" w:rsidRDefault="00B2081F" w:rsidP="00B2081F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B2081F" w:rsidRPr="00B2081F" w:rsidRDefault="00B2081F" w:rsidP="00B2081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Units, electric and its element</w:t>
            </w:r>
          </w:p>
        </w:tc>
        <w:tc>
          <w:tcPr>
            <w:tcW w:w="850" w:type="dxa"/>
            <w:vAlign w:val="center"/>
          </w:tcPr>
          <w:p w:rsidR="00B2081F" w:rsidRPr="00B2081F" w:rsidRDefault="00B2081F" w:rsidP="00B2081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B2081F" w:rsidRPr="00B2081F" w:rsidRDefault="00581C16" w:rsidP="00B2081F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</w:t>
            </w:r>
          </w:p>
        </w:tc>
      </w:tr>
      <w:tr w:rsidR="00B2081F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Electric power and energy</w:t>
            </w:r>
          </w:p>
        </w:tc>
        <w:tc>
          <w:tcPr>
            <w:tcW w:w="85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B2081F" w:rsidRPr="00B2081F" w:rsidRDefault="00581C16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</w:t>
            </w:r>
          </w:p>
        </w:tc>
      </w:tr>
      <w:tr w:rsidR="00B2081F" w:rsidRPr="009F395E" w:rsidTr="00B2081F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Parallel and sense concretion</w:t>
            </w:r>
          </w:p>
        </w:tc>
        <w:tc>
          <w:tcPr>
            <w:tcW w:w="85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B2081F" w:rsidRPr="00B2081F" w:rsidRDefault="00581C16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4</w:t>
            </w:r>
          </w:p>
        </w:tc>
      </w:tr>
      <w:tr w:rsidR="00B2081F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B2081F" w:rsidRPr="00B2081F" w:rsidRDefault="00B2081F" w:rsidP="00B2081F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Kirchhoff's low and their use</w:t>
            </w:r>
          </w:p>
        </w:tc>
        <w:tc>
          <w:tcPr>
            <w:tcW w:w="850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B2081F" w:rsidRPr="00B2081F" w:rsidRDefault="00581C16" w:rsidP="00B2081F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B2081F" w:rsidRPr="00B2081F" w:rsidRDefault="00B2081F" w:rsidP="00B2081F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5</w:t>
            </w:r>
          </w:p>
        </w:tc>
      </w:tr>
      <w:tr w:rsidR="00581C16" w:rsidRPr="009F395E" w:rsidTr="00B2081F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Delta to star conversion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6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Star to delta conversion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7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Supper </w:t>
            </w:r>
            <w:proofErr w:type="spellStart"/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pasihon</w:t>
            </w:r>
            <w:proofErr w:type="spellEnd"/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theorem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8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proofErr w:type="spellStart"/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Thevenin's</w:t>
            </w:r>
            <w:proofErr w:type="spellEnd"/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 xml:space="preserve"> theorem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9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Norton's theorem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10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Maximum power transfer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11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Types of alternating wave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12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13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Form generation of attempting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14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15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Current and voltage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16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17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18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Mean values of current and voltage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19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20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Effecting values of current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21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22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Circuit element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23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24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The vector diagram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25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26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Series and parallel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bidi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27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28</w:t>
            </w:r>
          </w:p>
        </w:tc>
      </w:tr>
      <w:tr w:rsidR="00581C16" w:rsidRPr="009F395E" w:rsidTr="00B208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  <w:r w:rsidRPr="00B2081F">
              <w:rPr>
                <w:rFonts w:cs="Times New Roman"/>
                <w:color w:val="000000"/>
                <w:sz w:val="26"/>
                <w:szCs w:val="26"/>
                <w:lang w:bidi="ar-IQ"/>
              </w:rPr>
              <w:t>The instantaneous value</w:t>
            </w: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29</w:t>
            </w:r>
          </w:p>
        </w:tc>
      </w:tr>
      <w:tr w:rsidR="00581C16" w:rsidRPr="009F395E" w:rsidTr="00B2081F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581C16" w:rsidRPr="00B2081F" w:rsidRDefault="00581C16" w:rsidP="00581C1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6"/>
                <w:szCs w:val="26"/>
                <w:lang w:bidi="ar-IQ"/>
              </w:rPr>
            </w:pPr>
            <w:r>
              <w:rPr>
                <w:rFonts w:cs="Times New Roman"/>
                <w:color w:val="000000"/>
                <w:sz w:val="26"/>
                <w:szCs w:val="26"/>
                <w:lang w:bidi="ar-IQ"/>
              </w:rPr>
              <w:t>6</w:t>
            </w:r>
          </w:p>
        </w:tc>
        <w:tc>
          <w:tcPr>
            <w:tcW w:w="993" w:type="dxa"/>
            <w:vAlign w:val="center"/>
          </w:tcPr>
          <w:p w:rsidR="00581C16" w:rsidRPr="00B2081F" w:rsidRDefault="00581C16" w:rsidP="00581C1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6"/>
                <w:szCs w:val="26"/>
              </w:rPr>
            </w:pPr>
            <w:r w:rsidRPr="00B2081F">
              <w:rPr>
                <w:rFonts w:cs="Times New Roman"/>
                <w:color w:val="231F20"/>
                <w:sz w:val="26"/>
                <w:szCs w:val="26"/>
              </w:rPr>
              <w:t>30</w:t>
            </w:r>
          </w:p>
        </w:tc>
      </w:tr>
    </w:tbl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  <w:bookmarkStart w:id="0" w:name="_GoBack"/>
      <w:bookmarkEnd w:id="0"/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16"/>
          <w:szCs w:val="16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0145B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90145B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B87698" w:rsidRPr="004764AD" w:rsidRDefault="0090145B" w:rsidP="00B8769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B87698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B87698" w:rsidRPr="00B87698">
              <w:rPr>
                <w:rFonts w:cs="Times New Roman"/>
                <w:color w:val="231F20"/>
                <w:sz w:val="28"/>
                <w:szCs w:val="28"/>
              </w:rPr>
              <w:t>The student acquires practical skills through what he acquires by carrying out experiments in the laboratory</w:t>
            </w:r>
          </w:p>
          <w:p w:rsidR="0090145B" w:rsidRPr="004764AD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90145B" w:rsidRPr="00DC0A65" w:rsidRDefault="0090145B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</w:tbl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B2081F" w:rsidRPr="0090145B" w:rsidRDefault="00B2081F" w:rsidP="00B2081F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4"/>
          <w:szCs w:val="24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E7F49" w:rsidRPr="00F2205E" w:rsidRDefault="00FE7F49" w:rsidP="0090145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90145B" w:rsidRPr="0054730D" w:rsidRDefault="0090145B" w:rsidP="0090145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DC0A65" w:rsidRPr="0054730D" w:rsidRDefault="00DC0A65" w:rsidP="00DC0A65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1434CA"/>
    <w:rsid w:val="00190C46"/>
    <w:rsid w:val="00251708"/>
    <w:rsid w:val="003B19F8"/>
    <w:rsid w:val="003F7D8B"/>
    <w:rsid w:val="004115ED"/>
    <w:rsid w:val="004243F5"/>
    <w:rsid w:val="004764AD"/>
    <w:rsid w:val="004B3859"/>
    <w:rsid w:val="00515746"/>
    <w:rsid w:val="00524662"/>
    <w:rsid w:val="0057205A"/>
    <w:rsid w:val="00581C16"/>
    <w:rsid w:val="0068500E"/>
    <w:rsid w:val="00693970"/>
    <w:rsid w:val="00700DC0"/>
    <w:rsid w:val="00784A9D"/>
    <w:rsid w:val="007A56F6"/>
    <w:rsid w:val="007D7B14"/>
    <w:rsid w:val="00876BD4"/>
    <w:rsid w:val="008916E8"/>
    <w:rsid w:val="0090145B"/>
    <w:rsid w:val="009A5412"/>
    <w:rsid w:val="00AD3821"/>
    <w:rsid w:val="00B2081F"/>
    <w:rsid w:val="00B81D94"/>
    <w:rsid w:val="00B87698"/>
    <w:rsid w:val="00C1166E"/>
    <w:rsid w:val="00CD1B21"/>
    <w:rsid w:val="00CE36FF"/>
    <w:rsid w:val="00D44F66"/>
    <w:rsid w:val="00DC0A65"/>
    <w:rsid w:val="00F2205E"/>
    <w:rsid w:val="00F42314"/>
    <w:rsid w:val="00FC20E3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horttext">
    <w:name w:val="short_text"/>
    <w:basedOn w:val="DefaultParagraphFont"/>
    <w:rsid w:val="00CD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dcterms:created xsi:type="dcterms:W3CDTF">2021-06-22T08:41:00Z</dcterms:created>
  <dcterms:modified xsi:type="dcterms:W3CDTF">2021-06-24T17:43:00Z</dcterms:modified>
</cp:coreProperties>
</file>